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3249" w:type="dxa"/>
                <w:gridSpan w:val="2"/>
              </w:tcPr>
              <w:p w:rsidR="002914D6" w:rsidRPr="00DB6CDB" w:rsidRDefault="00FD3287" w:rsidP="00FD3287">
                <w:pPr>
                  <w:bidi w:val="0"/>
                  <w:jc w:val="right"/>
                  <w:rPr>
                    <w:rFonts w:ascii="Arial" w:hAnsi="Arial"/>
                    <w:b/>
                    <w:bCs/>
                    <w:noProof w:val="0"/>
                  </w:rPr>
                </w:pPr>
                <w:r w:rsidRPr="00DB6CDB">
                  <w:rPr>
                    <w:rFonts w:ascii="Arial" w:hAnsi="Arial" w:hint="cs"/>
                    <w:b/>
                    <w:bCs/>
                    <w:noProof w:val="0"/>
                    <w:rtl/>
                  </w:rPr>
                  <w:t>התובע:</w:t>
                </w:r>
              </w:p>
            </w:tc>
          </w:sdtContent>
        </w:sdt>
        <w:tc>
          <w:tcPr>
            <w:tcW w:w="5571" w:type="dxa"/>
          </w:tcPr>
          <w:p w:rsidR="002914D6" w:rsidRPr="00DB6CDB" w:rsidRDefault="00DE3BD6" w:rsidP="00EC0B57">
            <w:pPr>
              <w:rPr>
                <w:b/>
                <w:bCs/>
                <w:noProof w:val="0"/>
                <w:rtl/>
              </w:rPr>
            </w:pPr>
            <w:sdt>
              <w:sdtPr>
                <w:rPr>
                  <w:rFonts w:hint="cs"/>
                  <w:b/>
                  <w:bCs/>
                  <w:noProof w:val="0"/>
                  <w:rtl/>
                </w:rPr>
                <w:alias w:val="1478"/>
                <w:tag w:val="1478"/>
                <w:id w:val="614022805"/>
                <w:text w:multiLine="1"/>
              </w:sdtPr>
              <w:sdtEndPr/>
              <w:sdtContent>
                <w:r w:rsidR="00EC0B57">
                  <w:rPr>
                    <w:rStyle w:val="ac"/>
                    <w:rFonts w:hint="cs"/>
                    <w:b/>
                    <w:bCs/>
                    <w:color w:val="auto"/>
                    <w:rtl/>
                  </w:rPr>
                  <w:t>פלוני</w:t>
                </w:r>
              </w:sdtContent>
            </w:sdt>
            <w:sdt>
              <w:sdtPr>
                <w:rPr>
                  <w:rFonts w:hint="cs"/>
                  <w:b/>
                  <w:bCs/>
                  <w:noProof w:val="0"/>
                  <w:rtl/>
                </w:rPr>
                <w:alias w:val="2316"/>
                <w:tag w:val="2316"/>
                <w:id w:val="1507024034"/>
                <w:showingPlcHdr/>
                <w:text w:multiLine="1"/>
              </w:sdtPr>
              <w:sdtEndPr/>
              <w:sdtContent>
                <w:r w:rsidR="00EC0B57">
                  <w:rPr>
                    <w:b/>
                    <w:bCs/>
                    <w:noProof w:val="0"/>
                    <w:rtl/>
                  </w:rPr>
                  <w:t xml:space="preserve">     </w:t>
                </w:r>
              </w:sdtContent>
            </w:sdt>
          </w:p>
          <w:p w:rsidR="00FD3287" w:rsidRPr="00DB6CDB" w:rsidRDefault="00FD3287" w:rsidP="00FD3287">
            <w:pPr>
              <w:rPr>
                <w:b/>
                <w:bCs/>
                <w:noProof w:val="0"/>
              </w:rPr>
            </w:pPr>
            <w:r w:rsidRPr="00DB6CDB">
              <w:rPr>
                <w:rFonts w:hint="cs"/>
                <w:b/>
                <w:bCs/>
                <w:noProof w:val="0"/>
                <w:rtl/>
              </w:rPr>
              <w:t>ע"י ב"כ עו"ד דוד טובול</w:t>
            </w:r>
          </w:p>
        </w:tc>
      </w:tr>
      <w:tr w:rsidR="002914D6">
        <w:trPr>
          <w:jc w:val="center"/>
        </w:trPr>
        <w:tc>
          <w:tcPr>
            <w:tcW w:w="8820" w:type="dxa"/>
            <w:gridSpan w:val="3"/>
          </w:tcPr>
          <w:p w:rsidR="002914D6" w:rsidRPr="00DB6CDB" w:rsidRDefault="002914D6">
            <w:pPr>
              <w:rPr>
                <w:rFonts w:ascii="Arial" w:hAnsi="Arial"/>
                <w:b/>
                <w:bCs/>
                <w:noProof w:val="0"/>
                <w:rtl/>
              </w:rPr>
            </w:pPr>
          </w:p>
          <w:p w:rsidR="002914D6" w:rsidRPr="00DB6CDB" w:rsidRDefault="00011212">
            <w:pPr>
              <w:jc w:val="center"/>
              <w:rPr>
                <w:rFonts w:ascii="Arial" w:hAnsi="Arial"/>
                <w:b/>
                <w:bCs/>
                <w:noProof w:val="0"/>
                <w:rtl/>
              </w:rPr>
            </w:pPr>
            <w:r w:rsidRPr="00DB6CDB">
              <w:rPr>
                <w:rFonts w:ascii="Arial" w:hAnsi="Arial"/>
                <w:b/>
                <w:bCs/>
                <w:noProof w:val="0"/>
                <w:rtl/>
              </w:rPr>
              <w:t>נגד</w:t>
            </w:r>
          </w:p>
          <w:p w:rsidR="002914D6" w:rsidRPr="00DB6CDB" w:rsidRDefault="002914D6">
            <w:pPr>
              <w:rPr>
                <w:rFonts w:ascii="Arial" w:hAnsi="Arial"/>
                <w:b/>
                <w:bCs/>
                <w:noProof w:val="0"/>
              </w:rPr>
            </w:pPr>
          </w:p>
        </w:tc>
      </w:tr>
      <w:tr w:rsidR="002914D6">
        <w:trPr>
          <w:jc w:val="center"/>
        </w:trPr>
        <w:tc>
          <w:tcPr>
            <w:tcW w:w="3249" w:type="dxa"/>
            <w:gridSpan w:val="2"/>
          </w:tcPr>
          <w:p w:rsidR="002914D6" w:rsidRPr="00DB6CDB" w:rsidRDefault="00FD3287" w:rsidP="00FD3287">
            <w:pPr>
              <w:rPr>
                <w:rFonts w:ascii="Arial" w:hAnsi="Arial"/>
                <w:b/>
                <w:bCs/>
                <w:noProof w:val="0"/>
              </w:rPr>
            </w:pPr>
            <w:r w:rsidRPr="00DB6CDB">
              <w:rPr>
                <w:rFonts w:ascii="Arial" w:hAnsi="Arial" w:hint="cs"/>
                <w:b/>
                <w:bCs/>
                <w:noProof w:val="0"/>
                <w:rtl/>
              </w:rPr>
              <w:t>הנתבעת:</w:t>
            </w:r>
          </w:p>
        </w:tc>
        <w:tc>
          <w:tcPr>
            <w:tcW w:w="5571" w:type="dxa"/>
          </w:tcPr>
          <w:p w:rsidR="002914D6" w:rsidRPr="00DB6CDB" w:rsidRDefault="00DE3BD6" w:rsidP="00EC0B57">
            <w:pPr>
              <w:rPr>
                <w:b/>
                <w:bCs/>
                <w:noProof w:val="0"/>
                <w:rtl/>
              </w:rPr>
            </w:pPr>
            <w:sdt>
              <w:sdtPr>
                <w:rPr>
                  <w:rFonts w:hint="cs"/>
                  <w:b/>
                  <w:bCs/>
                  <w:noProof w:val="0"/>
                  <w:rtl/>
                </w:rPr>
                <w:alias w:val="1486"/>
                <w:tag w:val="1486"/>
                <w:id w:val="-1492704729"/>
                <w:text w:multiLine="1"/>
              </w:sdtPr>
              <w:sdtEndPr/>
              <w:sdtContent>
                <w:r w:rsidR="00EC0B57">
                  <w:rPr>
                    <w:rStyle w:val="ac"/>
                    <w:rFonts w:hint="cs"/>
                    <w:b/>
                    <w:bCs/>
                    <w:color w:val="auto"/>
                    <w:rtl/>
                  </w:rPr>
                  <w:t>פלונית</w:t>
                </w:r>
              </w:sdtContent>
            </w:sdt>
            <w:sdt>
              <w:sdtPr>
                <w:rPr>
                  <w:rFonts w:hint="cs"/>
                  <w:b/>
                  <w:bCs/>
                  <w:noProof w:val="0"/>
                  <w:rtl/>
                </w:rPr>
                <w:alias w:val="2317"/>
                <w:tag w:val="2317"/>
                <w:id w:val="413289519"/>
                <w:showingPlcHdr/>
                <w:text w:multiLine="1"/>
              </w:sdtPr>
              <w:sdtEndPr/>
              <w:sdtContent>
                <w:r w:rsidR="00EC0B57">
                  <w:rPr>
                    <w:b/>
                    <w:bCs/>
                    <w:noProof w:val="0"/>
                    <w:rtl/>
                  </w:rPr>
                  <w:t xml:space="preserve">     </w:t>
                </w:r>
              </w:sdtContent>
            </w:sdt>
            <w:sdt>
              <w:sdtPr>
                <w:rPr>
                  <w:b/>
                  <w:bCs/>
                  <w:noProof w:val="0"/>
                  <w:rtl/>
                </w:rPr>
                <w:alias w:val="2318"/>
                <w:tag w:val="2318"/>
                <w:id w:val="-946693399"/>
                <w:showingPlcHdr/>
                <w:text w:multiLine="1"/>
              </w:sdtPr>
              <w:sdtEndPr/>
              <w:sdtContent>
                <w:r w:rsidR="00EC0B57">
                  <w:rPr>
                    <w:b/>
                    <w:bCs/>
                    <w:noProof w:val="0"/>
                    <w:rtl/>
                  </w:rPr>
                  <w:t xml:space="preserve">     </w:t>
                </w:r>
              </w:sdtContent>
            </w:sdt>
          </w:p>
          <w:p w:rsidR="00FD3287" w:rsidRPr="00DB6CDB" w:rsidRDefault="00FD3287" w:rsidP="00FD3287">
            <w:pPr>
              <w:rPr>
                <w:b/>
                <w:bCs/>
                <w:noProof w:val="0"/>
                <w:rtl/>
              </w:rPr>
            </w:pPr>
            <w:r w:rsidRPr="00DB6CDB">
              <w:rPr>
                <w:rFonts w:hint="cs"/>
                <w:b/>
                <w:bCs/>
                <w:noProof w:val="0"/>
                <w:rtl/>
              </w:rPr>
              <w:t>ע"י ב"כ עו"ד ירון קוק</w:t>
            </w:r>
          </w:p>
        </w:tc>
      </w:tr>
    </w:tbl>
    <w:p w:rsidR="002914D6" w:rsidRPr="00FD3287"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FD3287" w:rsidRPr="00DB6CDB" w:rsidRDefault="00FD3287" w:rsidP="00FD3287">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 xml:space="preserve">הצדדים שבפני אינם פנים חדשות, ועיון חטוף בתיק </w:t>
      </w:r>
      <w:r w:rsidR="009232E6">
        <w:rPr>
          <w:rFonts w:ascii="Arial" w:hAnsi="Arial" w:hint="cs"/>
          <w:noProof w:val="0"/>
          <w:rtl/>
        </w:rPr>
        <w:t>ה</w:t>
      </w:r>
      <w:r w:rsidRPr="00DB6CDB">
        <w:rPr>
          <w:rFonts w:ascii="Arial" w:hAnsi="Arial" w:hint="cs"/>
          <w:noProof w:val="0"/>
          <w:rtl/>
        </w:rPr>
        <w:t xml:space="preserve">ממוחשב מלמד כי התנהלו ביניהם תובענות מרובות, מרובות מאד. </w:t>
      </w:r>
    </w:p>
    <w:p w:rsidR="00830879" w:rsidRPr="00C1180B" w:rsidRDefault="00830879" w:rsidP="00830879">
      <w:pPr>
        <w:pStyle w:val="ad"/>
        <w:spacing w:line="360" w:lineRule="auto"/>
        <w:ind w:left="567"/>
        <w:jc w:val="both"/>
        <w:rPr>
          <w:rFonts w:ascii="Arial" w:hAnsi="Arial"/>
          <w:noProof w:val="0"/>
          <w:sz w:val="16"/>
          <w:szCs w:val="16"/>
        </w:rPr>
      </w:pPr>
    </w:p>
    <w:p w:rsidR="00FD3287" w:rsidRPr="00DB6CDB" w:rsidRDefault="00FD3287" w:rsidP="00036C79">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 xml:space="preserve">ביום </w:t>
      </w:r>
      <w:r w:rsidR="00036C79" w:rsidRPr="00DB6CDB">
        <w:rPr>
          <w:rFonts w:ascii="Arial" w:hAnsi="Arial" w:hint="cs"/>
          <w:noProof w:val="0"/>
          <w:rtl/>
        </w:rPr>
        <w:t>2.6.22 ניתן פסק דיני בשתי תובענות שהוגשו על ידי האב, האחת לקביעת הסדרי שהות בינו לבין ילדי הצדדים והשנייה, תביעה להפחתת מזונותיהם. בפסק הדין, מצאתי לדחות את שתי תביעותיו של האב. יוער כי בתביעה בעניין הקטינים טען האב לניכור הורי חמור ואילו בתביעה להפחתת מזונות טען הן לניכור הורי (מרדנות), הן באשר למצבו הכלכלי והן באשר למצבה הכלכלי של הנתבעת.</w:t>
      </w:r>
    </w:p>
    <w:p w:rsidR="00830879" w:rsidRPr="00C1180B" w:rsidRDefault="00830879" w:rsidP="00830879">
      <w:pPr>
        <w:pStyle w:val="ad"/>
        <w:spacing w:line="360" w:lineRule="auto"/>
        <w:ind w:left="567"/>
        <w:jc w:val="both"/>
        <w:rPr>
          <w:rFonts w:ascii="Arial" w:hAnsi="Arial"/>
          <w:noProof w:val="0"/>
          <w:sz w:val="16"/>
          <w:szCs w:val="16"/>
        </w:rPr>
      </w:pPr>
    </w:p>
    <w:p w:rsidR="00036C79" w:rsidRPr="00DB6CDB" w:rsidRDefault="00036C79" w:rsidP="009232E6">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התובע לא הסכין עם פסק דיני וערער עליו לבית המשפט המחוזי. בפסק דינו של בית המשפט המחוזי (עמ"ש 38903-06-22) מיום 24.10.22, נקבע בהסכמה כי הערעור יידחה ואולם חיוב התובע במזונות הילדים ייפסק עם הגיע כל אחד מהם לגיל 18 שנים.</w:t>
      </w:r>
    </w:p>
    <w:p w:rsidR="00830879" w:rsidRPr="00C1180B" w:rsidRDefault="00830879" w:rsidP="00830879">
      <w:pPr>
        <w:pStyle w:val="ad"/>
        <w:spacing w:line="360" w:lineRule="auto"/>
        <w:ind w:left="567"/>
        <w:jc w:val="both"/>
        <w:rPr>
          <w:rFonts w:ascii="Arial" w:hAnsi="Arial"/>
          <w:noProof w:val="0"/>
          <w:sz w:val="16"/>
          <w:szCs w:val="16"/>
        </w:rPr>
      </w:pPr>
    </w:p>
    <w:p w:rsidR="00D76381" w:rsidRPr="00DB6CDB" w:rsidRDefault="00D76381" w:rsidP="00D76381">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חשוב לציין כי ערב מתן פסק דיני וערב מתן פסק דינו של בית המשפט המחוזי, לא התקיים כל קשר בין האב לבין הילדים, זאת לאחר שבפסק דיני מצאתי למתוח ביקורת קשה על התנהלותו של האב בעניינים אלה ולא מצאתי בעניין זה כל אשמה על האם ו/או על הילדים.</w:t>
      </w:r>
    </w:p>
    <w:p w:rsidR="00830879" w:rsidRPr="00C1180B" w:rsidRDefault="00830879" w:rsidP="00830879">
      <w:pPr>
        <w:pStyle w:val="ad"/>
        <w:spacing w:line="360" w:lineRule="auto"/>
        <w:ind w:left="567"/>
        <w:jc w:val="both"/>
        <w:rPr>
          <w:rFonts w:ascii="Arial" w:hAnsi="Arial"/>
          <w:noProof w:val="0"/>
          <w:sz w:val="16"/>
          <w:szCs w:val="16"/>
        </w:rPr>
      </w:pPr>
    </w:p>
    <w:p w:rsidR="00D76381" w:rsidRPr="00C1180B" w:rsidRDefault="00D76381" w:rsidP="00C1180B">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ביום 1.2.23, כשלושה חודשים וחצי לאחר מתן פסק דינו של בית המשפט המחוזי (להזכיר, ניתן בהסכמה), הגיש האב את התביעה מושא פסק דין זה, בה עתר, שוב, להורות על ביטול/הפחתת מזונות הקטינים.</w:t>
      </w:r>
      <w:r w:rsidR="00C1180B">
        <w:rPr>
          <w:rFonts w:ascii="Arial" w:hAnsi="Arial" w:hint="cs"/>
          <w:noProof w:val="0"/>
          <w:rtl/>
        </w:rPr>
        <w:t xml:space="preserve"> </w:t>
      </w:r>
      <w:r w:rsidRPr="00C1180B">
        <w:rPr>
          <w:rFonts w:ascii="Arial" w:hAnsi="Arial" w:hint="cs"/>
          <w:noProof w:val="0"/>
          <w:rtl/>
        </w:rPr>
        <w:t>הנתבעת הגישה כתב הגנה ומועד לדיון נקבע להיום.</w:t>
      </w:r>
    </w:p>
    <w:p w:rsidR="00830879" w:rsidRPr="00C1180B" w:rsidRDefault="00830879" w:rsidP="00830879">
      <w:pPr>
        <w:pStyle w:val="ad"/>
        <w:spacing w:line="360" w:lineRule="auto"/>
        <w:ind w:left="567"/>
        <w:jc w:val="both"/>
        <w:rPr>
          <w:rFonts w:ascii="Arial" w:hAnsi="Arial"/>
          <w:noProof w:val="0"/>
          <w:sz w:val="16"/>
          <w:szCs w:val="16"/>
        </w:rPr>
      </w:pPr>
    </w:p>
    <w:p w:rsidR="00D834D4" w:rsidRPr="00DB6CDB" w:rsidRDefault="00D76381" w:rsidP="00D834D4">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 xml:space="preserve">לדיון שנקבע להיום, </w:t>
      </w:r>
      <w:r w:rsidR="00D834D4" w:rsidRPr="00DB6CDB">
        <w:rPr>
          <w:rFonts w:ascii="Arial" w:hAnsi="Arial" w:hint="cs"/>
          <w:noProof w:val="0"/>
          <w:rtl/>
        </w:rPr>
        <w:t xml:space="preserve">התייצבה הנתבעת ללא ב"כ, והתברר כי זה </w:t>
      </w:r>
      <w:r w:rsidRPr="00DB6CDB">
        <w:rPr>
          <w:rFonts w:ascii="Arial" w:hAnsi="Arial" w:hint="cs"/>
          <w:noProof w:val="0"/>
          <w:rtl/>
        </w:rPr>
        <w:t>לא התייצב בטענה כי הוא חלה בקורונה ואף הקדים בקשה לדחי</w:t>
      </w:r>
      <w:r w:rsidR="00D834D4" w:rsidRPr="00DB6CDB">
        <w:rPr>
          <w:rFonts w:ascii="Arial" w:hAnsi="Arial" w:hint="cs"/>
          <w:noProof w:val="0"/>
          <w:rtl/>
        </w:rPr>
        <w:t>ית מועד הדיון. מאחר והבקשה הועברה לעיוני ממש בפתח הדיון, טרם ניתנה בה החלטה. אוסיף כי לדיון התייצב ב"כ התובע, ואילו התובע עצמו לא התייצב. ב"כ התובע היה מודע לטענתו של ב"כ הנתבעת וחרף זאת ביקש לקיים את הדיון בהיעדרו, שכן לטענתו, הוא ביקש אסמכתאות לחוליו של ב"כ הנתבעת ואלו טרם נמסרו לו.</w:t>
      </w:r>
    </w:p>
    <w:p w:rsidR="00D834D4" w:rsidRPr="000A3876" w:rsidRDefault="00D834D4" w:rsidP="00D834D4">
      <w:pPr>
        <w:pStyle w:val="ad"/>
        <w:spacing w:line="360" w:lineRule="auto"/>
        <w:ind w:left="567"/>
        <w:jc w:val="both"/>
        <w:rPr>
          <w:rFonts w:ascii="Arial" w:hAnsi="Arial"/>
          <w:noProof w:val="0"/>
          <w:sz w:val="16"/>
          <w:szCs w:val="16"/>
        </w:rPr>
      </w:pPr>
    </w:p>
    <w:p w:rsidR="00D834D4" w:rsidRPr="00DB6CDB" w:rsidRDefault="00D834D4" w:rsidP="00D834D4">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לאחר ששמעתי את ב"כ התובע ואת הנתבעת, מצאתי ליתן פסק דין זה.</w:t>
      </w:r>
    </w:p>
    <w:p w:rsidR="00D834D4" w:rsidRPr="00DB6CDB" w:rsidRDefault="00D834D4" w:rsidP="00C1180B">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lastRenderedPageBreak/>
        <w:t>עיון מעמיק בכתב התביעה מלמד כי טענותיו של התובע הן אותן טענות בדיוק מההליך הקודם</w:t>
      </w:r>
      <w:r w:rsidR="00830879" w:rsidRPr="00DB6CDB">
        <w:rPr>
          <w:rFonts w:ascii="Arial" w:hAnsi="Arial" w:hint="cs"/>
          <w:noProof w:val="0"/>
          <w:rtl/>
        </w:rPr>
        <w:t xml:space="preserve">, בבחינת </w:t>
      </w:r>
      <w:r w:rsidR="00830879" w:rsidRPr="00C1180B">
        <w:rPr>
          <w:rFonts w:ascii="Arial" w:hAnsi="Arial" w:hint="cs"/>
          <w:i/>
          <w:iCs/>
          <w:noProof w:val="0"/>
          <w:rtl/>
        </w:rPr>
        <w:t>אותה הגברת עם אותה האדרת</w:t>
      </w:r>
      <w:r w:rsidRPr="00DB6CDB">
        <w:rPr>
          <w:rFonts w:ascii="Arial" w:hAnsi="Arial" w:hint="cs"/>
          <w:noProof w:val="0"/>
          <w:rtl/>
        </w:rPr>
        <w:t>. כך, טען התובע לני</w:t>
      </w:r>
      <w:r w:rsidR="00830879" w:rsidRPr="00DB6CDB">
        <w:rPr>
          <w:rFonts w:ascii="Arial" w:hAnsi="Arial" w:hint="cs"/>
          <w:noProof w:val="0"/>
          <w:rtl/>
        </w:rPr>
        <w:t xml:space="preserve">כור הורי, טען כי אינו מתראה עם ילדיו, טען למצב כלכלי קשה </w:t>
      </w:r>
      <w:r w:rsidR="00C1180B">
        <w:rPr>
          <w:rFonts w:ascii="Arial" w:hAnsi="Arial" w:hint="cs"/>
          <w:noProof w:val="0"/>
          <w:rtl/>
        </w:rPr>
        <w:t xml:space="preserve">מחד, ומנגד </w:t>
      </w:r>
      <w:r w:rsidR="00830879" w:rsidRPr="00DB6CDB">
        <w:rPr>
          <w:rFonts w:ascii="Arial" w:hAnsi="Arial" w:hint="cs"/>
          <w:noProof w:val="0"/>
          <w:rtl/>
        </w:rPr>
        <w:t>כי הנתבעת עתירת ממון.</w:t>
      </w:r>
    </w:p>
    <w:p w:rsidR="00830879" w:rsidRPr="00C1180B" w:rsidRDefault="00830879" w:rsidP="00830879">
      <w:pPr>
        <w:pStyle w:val="ad"/>
        <w:spacing w:line="360" w:lineRule="auto"/>
        <w:ind w:left="567"/>
        <w:jc w:val="both"/>
        <w:rPr>
          <w:rFonts w:ascii="Arial" w:hAnsi="Arial"/>
          <w:noProof w:val="0"/>
          <w:sz w:val="16"/>
          <w:szCs w:val="16"/>
        </w:rPr>
      </w:pPr>
    </w:p>
    <w:p w:rsidR="00830879" w:rsidRPr="00DB6CDB" w:rsidRDefault="00830879" w:rsidP="00830879">
      <w:pPr>
        <w:pStyle w:val="ad"/>
        <w:numPr>
          <w:ilvl w:val="0"/>
          <w:numId w:val="1"/>
        </w:numPr>
        <w:spacing w:line="360" w:lineRule="auto"/>
        <w:ind w:left="567" w:hanging="567"/>
        <w:jc w:val="both"/>
        <w:rPr>
          <w:rFonts w:ascii="Arial" w:hAnsi="Arial"/>
          <w:noProof w:val="0"/>
          <w:rtl/>
        </w:rPr>
      </w:pPr>
      <w:r w:rsidRPr="00DB6CDB">
        <w:rPr>
          <w:rFonts w:ascii="Arial" w:hAnsi="Arial" w:hint="cs"/>
          <w:noProof w:val="0"/>
          <w:rtl/>
        </w:rPr>
        <w:t xml:space="preserve">הנתבעת ביקשה בכתב הגנתה לדחות את התביעה מטעמים אלה ממש, טענה כי התובע בוחר להציק לה בתביעות חסרות תוחלת פעם אחר פעם, ובדיון שהתקיים בפני זה עתה, אמרה בקול שבור: </w:t>
      </w:r>
      <w:r w:rsidRPr="00DB6CDB">
        <w:rPr>
          <w:rFonts w:ascii="Arial" w:hAnsi="Arial" w:hint="cs"/>
          <w:b/>
          <w:bCs/>
          <w:noProof w:val="0"/>
          <w:rtl/>
        </w:rPr>
        <w:t>"</w:t>
      </w:r>
      <w:r w:rsidRPr="00DB6CDB">
        <w:rPr>
          <w:rFonts w:hint="cs"/>
          <w:b/>
          <w:bCs/>
          <w:rtl/>
        </w:rPr>
        <w:t>קודם כל, כל הנושא הזה מאוד מאוס עליי ותביעות חוזרות שמטרידות אותי, אני אמא ל-7 ילדים, כשהייתי צריכה היום בבוקר סוער, אני לא גרה קרוב לבית המשפט, למצוא סידור לילדים קטינים זה מאוד קריטי עבורי, זה פוגע לי באורח החיים שלי, מטריד אותי ממש, הוא הגיע איתי רק באוקטובר האחרון לבית המשפט המחוזי לערעור באותו עניין ובאותו נושא, הטענות שלו הן אותן טענות, אני מוצאת את עצמי מגדלת את שלושת הילדים המשותפים שלנו לבד, והוא חוזר עם אותן טענות ותביעות חוזרות ובאותו עניין. אני חושבת שבית המשפט חייב לפסוק לי גם הוצאות וגם לדחות את התביעות שלו, הוא חייב לתת פה את הדין. זה כבר 10 שנים שהוא רודף אותי. זה 10 שנים. בהתחלה הייתי נשואה לו והוא היה שולט בי והייתה אלימות, ברחתי. היום אני מיוצגת על ידי הסיוע המשפטי אבל זה בייביסיטר וזה עולה לי, אני מפסידה ימי עבודה, ימים שאני הולכת לחתום על תצהירים, אני מגדלת 7 ילדים ויש לי התעסקות"</w:t>
      </w:r>
      <w:r w:rsidRPr="00DB6CDB">
        <w:rPr>
          <w:rFonts w:hint="cs"/>
          <w:rtl/>
        </w:rPr>
        <w:t xml:space="preserve"> (ר' עמ' </w:t>
      </w:r>
      <w:r w:rsidR="0073542B">
        <w:rPr>
          <w:rFonts w:hint="cs"/>
          <w:rtl/>
        </w:rPr>
        <w:t>1</w:t>
      </w:r>
      <w:r w:rsidRPr="00DB6CDB">
        <w:rPr>
          <w:rFonts w:hint="cs"/>
          <w:rtl/>
        </w:rPr>
        <w:t xml:space="preserve">, ש' </w:t>
      </w:r>
      <w:r w:rsidR="0073542B">
        <w:rPr>
          <w:rFonts w:hint="cs"/>
          <w:rtl/>
        </w:rPr>
        <w:t xml:space="preserve">18 </w:t>
      </w:r>
      <w:r w:rsidR="0073542B">
        <w:rPr>
          <w:rtl/>
        </w:rPr>
        <w:t>–</w:t>
      </w:r>
      <w:r w:rsidR="0073542B">
        <w:rPr>
          <w:rFonts w:hint="cs"/>
          <w:rtl/>
        </w:rPr>
        <w:t xml:space="preserve"> עמ' 2, ש' 2</w:t>
      </w:r>
      <w:r w:rsidRPr="00DB6CDB">
        <w:rPr>
          <w:rFonts w:hint="cs"/>
          <w:rtl/>
        </w:rPr>
        <w:t>).</w:t>
      </w:r>
    </w:p>
    <w:p w:rsidR="00830879" w:rsidRPr="00C1180B" w:rsidRDefault="00830879" w:rsidP="00830879">
      <w:pPr>
        <w:pStyle w:val="ad"/>
        <w:rPr>
          <w:rFonts w:ascii="Arial" w:hAnsi="Arial"/>
          <w:noProof w:val="0"/>
          <w:sz w:val="16"/>
          <w:szCs w:val="16"/>
          <w:rtl/>
        </w:rPr>
      </w:pPr>
    </w:p>
    <w:p w:rsidR="00830879" w:rsidRPr="00DB6CDB" w:rsidRDefault="00830879" w:rsidP="00830879">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במהלך הדיון התבקש ב"כ התובע לפרט מהם שינויי הנסיבות שהובילו את התובע להגיש תביעתו זו, ולמרות ששאלה זו הופנ</w:t>
      </w:r>
      <w:r w:rsidR="00546299" w:rsidRPr="00DB6CDB">
        <w:rPr>
          <w:rFonts w:ascii="Arial" w:hAnsi="Arial" w:hint="cs"/>
          <w:noProof w:val="0"/>
          <w:rtl/>
        </w:rPr>
        <w:t>תה יותר מפעם אחת, לא מצאתי לה תשובה הולמת, זולת חזרה על טענות שנטענו בהליכים קודמים.</w:t>
      </w:r>
    </w:p>
    <w:p w:rsidR="00546299" w:rsidRPr="000A3876" w:rsidRDefault="00546299" w:rsidP="00546299">
      <w:pPr>
        <w:pStyle w:val="ad"/>
        <w:rPr>
          <w:rFonts w:ascii="Arial" w:hAnsi="Arial"/>
          <w:noProof w:val="0"/>
          <w:sz w:val="16"/>
          <w:szCs w:val="16"/>
          <w:rtl/>
        </w:rPr>
      </w:pPr>
    </w:p>
    <w:p w:rsidR="000708BC" w:rsidRPr="00C1180B" w:rsidRDefault="00546299" w:rsidP="00C1180B">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 xml:space="preserve">עיון בכתב התביעה מלמד </w:t>
      </w:r>
      <w:r w:rsidRPr="00DB6CDB">
        <w:rPr>
          <w:rFonts w:ascii="Arial" w:hAnsi="Arial"/>
          <w:noProof w:val="0"/>
          <w:rtl/>
        </w:rPr>
        <w:t>–</w:t>
      </w:r>
      <w:r w:rsidRPr="00DB6CDB">
        <w:rPr>
          <w:rFonts w:ascii="Arial" w:hAnsi="Arial" w:hint="cs"/>
          <w:noProof w:val="0"/>
          <w:rtl/>
        </w:rPr>
        <w:t xml:space="preserve"> מלבד על חזרה על טענות </w:t>
      </w:r>
      <w:r w:rsidRPr="00DB6CDB">
        <w:rPr>
          <w:rFonts w:ascii="Arial" w:hAnsi="Arial"/>
          <w:noProof w:val="0"/>
          <w:rtl/>
        </w:rPr>
        <w:t>–</w:t>
      </w:r>
      <w:r w:rsidRPr="00DB6CDB">
        <w:rPr>
          <w:rFonts w:ascii="Arial" w:hAnsi="Arial" w:hint="cs"/>
          <w:noProof w:val="0"/>
          <w:rtl/>
        </w:rPr>
        <w:t xml:space="preserve"> גם על מחדלים קשים. התובע היה חייב לפרט בכתב התביעה מהם שינויי הנסיבות וזאת לא עשה. התובע היה חייב לפרט מהי התשתית העובדתית </w:t>
      </w:r>
      <w:r w:rsidR="000708BC" w:rsidRPr="00DB6CDB">
        <w:rPr>
          <w:rFonts w:ascii="Arial" w:hAnsi="Arial" w:hint="cs"/>
          <w:noProof w:val="0"/>
          <w:rtl/>
        </w:rPr>
        <w:t>ששררה ערב מתן פסק הדין אל מול התשתית העובדתית השוררת היום.</w:t>
      </w:r>
      <w:r w:rsidR="00C1180B">
        <w:rPr>
          <w:rFonts w:ascii="Arial" w:hAnsi="Arial" w:hint="cs"/>
          <w:noProof w:val="0"/>
          <w:rtl/>
        </w:rPr>
        <w:t xml:space="preserve"> </w:t>
      </w:r>
      <w:r w:rsidR="000708BC" w:rsidRPr="00C1180B">
        <w:rPr>
          <w:rFonts w:ascii="Arial" w:hAnsi="Arial" w:hint="cs"/>
          <w:noProof w:val="0"/>
          <w:rtl/>
        </w:rPr>
        <w:t xml:space="preserve">התובע היה חייב לפרט מהן מקורותיו הכספיים ערב מתן פסק הדין לעומת מקורותיו הכספיים כיום, וגם זאת לא עשה. התובע אף לא הסביר כיצד חל שינוי נסיבות </w:t>
      </w:r>
      <w:r w:rsidR="00C1180B">
        <w:rPr>
          <w:rFonts w:ascii="Arial" w:hAnsi="Arial" w:hint="cs"/>
          <w:noProof w:val="0"/>
          <w:rtl/>
        </w:rPr>
        <w:t>ב</w:t>
      </w:r>
      <w:r w:rsidR="000708BC" w:rsidRPr="00C1180B">
        <w:rPr>
          <w:rFonts w:ascii="Arial" w:hAnsi="Arial" w:hint="cs"/>
          <w:noProof w:val="0"/>
          <w:rtl/>
        </w:rPr>
        <w:t>כל הנוגע להסדרי הקשר שלו עם הילדים, שעה שערב מתן פסק דיני וערב מתן פסק דינו של בית המשפט המחוזי, לא שרר כל קשר בינו לבין הילדים.</w:t>
      </w:r>
    </w:p>
    <w:p w:rsidR="000708BC" w:rsidRPr="00C1180B" w:rsidRDefault="000708BC" w:rsidP="000708BC">
      <w:pPr>
        <w:pStyle w:val="ad"/>
        <w:rPr>
          <w:rFonts w:ascii="Arial" w:hAnsi="Arial"/>
          <w:noProof w:val="0"/>
          <w:sz w:val="16"/>
          <w:szCs w:val="16"/>
          <w:rtl/>
        </w:rPr>
      </w:pPr>
    </w:p>
    <w:p w:rsidR="009E6B4E" w:rsidRDefault="000708BC" w:rsidP="000A3876">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התובע הגיש טופס הרצאת פרטים חסר וריק כמעט לכל אורכו ורוחבו.</w:t>
      </w:r>
      <w:r w:rsidR="009E6B4E" w:rsidRPr="00DB6CDB">
        <w:rPr>
          <w:rFonts w:ascii="Arial" w:hAnsi="Arial" w:hint="cs"/>
          <w:noProof w:val="0"/>
          <w:rtl/>
        </w:rPr>
        <w:t xml:space="preserve"> התובע הפנה לתלושי שכר ועיון </w:t>
      </w:r>
      <w:r w:rsidR="0073542B">
        <w:rPr>
          <w:rFonts w:ascii="Arial" w:hAnsi="Arial" w:hint="cs"/>
          <w:noProof w:val="0"/>
          <w:rtl/>
        </w:rPr>
        <w:t>בהם העלה כי זה מצא ל</w:t>
      </w:r>
      <w:r w:rsidR="000A3876">
        <w:rPr>
          <w:rFonts w:ascii="Arial" w:hAnsi="Arial" w:hint="cs"/>
          <w:noProof w:val="0"/>
          <w:rtl/>
        </w:rPr>
        <w:t xml:space="preserve">נכון </w:t>
      </w:r>
      <w:r w:rsidR="009E6B4E" w:rsidRPr="00DB6CDB">
        <w:rPr>
          <w:rFonts w:ascii="Arial" w:hAnsi="Arial" w:hint="cs"/>
          <w:noProof w:val="0"/>
          <w:rtl/>
        </w:rPr>
        <w:t xml:space="preserve"> לצרף שני תלושי שכר בלבד, מה גם שלא הביא ראיות להכנסות נוספות שיש לו (כגון, קצבאות וכו').</w:t>
      </w:r>
    </w:p>
    <w:p w:rsidR="005F6199" w:rsidRPr="005F6199" w:rsidRDefault="005F6199" w:rsidP="005F6199">
      <w:pPr>
        <w:spacing w:line="360" w:lineRule="auto"/>
        <w:jc w:val="both"/>
        <w:rPr>
          <w:rFonts w:ascii="Arial" w:hAnsi="Arial"/>
          <w:noProof w:val="0"/>
          <w:sz w:val="16"/>
          <w:szCs w:val="16"/>
        </w:rPr>
      </w:pPr>
    </w:p>
    <w:p w:rsidR="00546299" w:rsidRDefault="009E6B4E" w:rsidP="00C1180B">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t xml:space="preserve">אף אם נניח למחדליו הקשים של התובע, לא על כך ייסוב </w:t>
      </w:r>
      <w:r w:rsidR="00546299" w:rsidRPr="00DB6CDB">
        <w:rPr>
          <w:rFonts w:ascii="Arial" w:hAnsi="Arial" w:hint="cs"/>
          <w:noProof w:val="0"/>
          <w:rtl/>
        </w:rPr>
        <w:t xml:space="preserve"> </w:t>
      </w:r>
      <w:r w:rsidRPr="00DB6CDB">
        <w:rPr>
          <w:rFonts w:ascii="Arial" w:hAnsi="Arial" w:hint="cs"/>
          <w:noProof w:val="0"/>
          <w:rtl/>
        </w:rPr>
        <w:t>פסק דיני זה</w:t>
      </w:r>
      <w:r w:rsidR="00C1180B">
        <w:rPr>
          <w:rFonts w:ascii="Arial" w:hAnsi="Arial" w:hint="cs"/>
          <w:noProof w:val="0"/>
          <w:rtl/>
        </w:rPr>
        <w:t xml:space="preserve">. לצערי, ההליך שבפני חשף, שוב, את </w:t>
      </w:r>
      <w:r w:rsidRPr="00DB6CDB">
        <w:rPr>
          <w:rFonts w:ascii="Arial" w:hAnsi="Arial" w:hint="cs"/>
          <w:noProof w:val="0"/>
          <w:rtl/>
        </w:rPr>
        <w:t xml:space="preserve">הקלות הבלתי נסבלת </w:t>
      </w:r>
      <w:r w:rsidR="00C1180B">
        <w:rPr>
          <w:rFonts w:ascii="Arial" w:hAnsi="Arial" w:hint="cs"/>
          <w:noProof w:val="0"/>
          <w:rtl/>
        </w:rPr>
        <w:t xml:space="preserve">בה </w:t>
      </w:r>
      <w:r w:rsidRPr="00DB6CDB">
        <w:rPr>
          <w:rFonts w:ascii="Arial" w:hAnsi="Arial" w:hint="cs"/>
          <w:noProof w:val="0"/>
          <w:rtl/>
        </w:rPr>
        <w:t xml:space="preserve">מרשה לעצמו בעל דין לגרור את יריבו להליך משפטי לא קל, הליך שכל כולו כילוי זמן ומשאבים לריק. </w:t>
      </w:r>
    </w:p>
    <w:p w:rsidR="00C1180B" w:rsidRPr="00C1180B" w:rsidRDefault="00C1180B" w:rsidP="00C1180B">
      <w:pPr>
        <w:pStyle w:val="ad"/>
        <w:spacing w:line="360" w:lineRule="auto"/>
        <w:ind w:left="567"/>
        <w:jc w:val="both"/>
        <w:rPr>
          <w:rFonts w:ascii="Arial" w:hAnsi="Arial"/>
          <w:noProof w:val="0"/>
          <w:sz w:val="16"/>
          <w:szCs w:val="16"/>
        </w:rPr>
      </w:pPr>
    </w:p>
    <w:p w:rsidR="00C1180B" w:rsidRDefault="000328F0" w:rsidP="008464C1">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ערב פסק הדין, טען האב כי הכנסותיו עומדות על סך של 7,200 ₪, מתוכן 1,500 ₪ קצבת נכות והיתר (5,700 ₪) משכר עבודה. בכתב התביעה בהליך שבפני לא טען האב במילה או בחצי מילה על השתכרותו אלא הסתפק בהפנייה לשני תלושי שכר מהם עולה כי השתכר בחודש אחד כ 6,700 ₪ ובחודש אחר כ 6,300 ₪, ומבלי לומר דבר על אותה קצבה, שאם נוסיף אותה לשכרו, הרי ששכרו גדל </w:t>
      </w:r>
      <w:r w:rsidR="000A3876">
        <w:rPr>
          <w:rFonts w:ascii="Arial" w:hAnsi="Arial" w:hint="cs"/>
          <w:noProof w:val="0"/>
          <w:rtl/>
        </w:rPr>
        <w:t xml:space="preserve">לעומת זה ששרר ערב מתן פסק דיני </w:t>
      </w:r>
      <w:r>
        <w:rPr>
          <w:rFonts w:ascii="Arial" w:hAnsi="Arial" w:hint="cs"/>
          <w:noProof w:val="0"/>
          <w:rtl/>
        </w:rPr>
        <w:t>ול</w:t>
      </w:r>
      <w:r w:rsidR="008464C1">
        <w:rPr>
          <w:rFonts w:ascii="Arial" w:hAnsi="Arial" w:hint="cs"/>
          <w:noProof w:val="0"/>
          <w:rtl/>
        </w:rPr>
        <w:t>א</w:t>
      </w:r>
      <w:r>
        <w:rPr>
          <w:rFonts w:ascii="Arial" w:hAnsi="Arial" w:hint="cs"/>
          <w:noProof w:val="0"/>
          <w:rtl/>
        </w:rPr>
        <w:t xml:space="preserve"> להיפך.</w:t>
      </w:r>
    </w:p>
    <w:p w:rsidR="008464C1" w:rsidRPr="000A3876" w:rsidRDefault="008464C1" w:rsidP="008464C1">
      <w:pPr>
        <w:pStyle w:val="ad"/>
        <w:rPr>
          <w:rFonts w:ascii="Arial" w:hAnsi="Arial"/>
          <w:noProof w:val="0"/>
          <w:sz w:val="16"/>
          <w:szCs w:val="16"/>
          <w:rtl/>
        </w:rPr>
      </w:pPr>
    </w:p>
    <w:p w:rsidR="008464C1" w:rsidRPr="00DB6CDB" w:rsidRDefault="008464C1" w:rsidP="008464C1">
      <w:pPr>
        <w:pStyle w:val="ad"/>
        <w:numPr>
          <w:ilvl w:val="0"/>
          <w:numId w:val="1"/>
        </w:numPr>
        <w:spacing w:line="360" w:lineRule="auto"/>
        <w:ind w:left="567" w:hanging="567"/>
        <w:jc w:val="both"/>
        <w:rPr>
          <w:rFonts w:ascii="Arial" w:hAnsi="Arial"/>
          <w:noProof w:val="0"/>
        </w:rPr>
      </w:pPr>
      <w:r>
        <w:rPr>
          <w:rFonts w:ascii="Arial" w:hAnsi="Arial" w:hint="cs"/>
          <w:noProof w:val="0"/>
          <w:rtl/>
        </w:rPr>
        <w:t>כך גם באשר למצבה הכלכלי של האם שב האב על אותן טענות בדיוק מההליך הקודם, ולא היה בהן כל חדש. באשר להסדרי הקשר שלא מתקיימים, ברור כי אף בזאת אין כל חדש.</w:t>
      </w:r>
    </w:p>
    <w:p w:rsidR="00546299" w:rsidRPr="00C1180B" w:rsidRDefault="00546299" w:rsidP="00546299">
      <w:pPr>
        <w:pStyle w:val="ad"/>
        <w:rPr>
          <w:rFonts w:ascii="Arial" w:hAnsi="Arial"/>
          <w:noProof w:val="0"/>
          <w:sz w:val="16"/>
          <w:szCs w:val="16"/>
          <w:rtl/>
        </w:rPr>
      </w:pPr>
    </w:p>
    <w:p w:rsidR="00546299" w:rsidRPr="00DB6CDB" w:rsidRDefault="008464C1" w:rsidP="000A3876">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לאחר שנתתי דעתי לכל העולה מכתב התביעה, מצאתי לקבוע כי </w:t>
      </w:r>
      <w:r w:rsidR="009E6B4E" w:rsidRPr="00DB6CDB">
        <w:rPr>
          <w:rFonts w:ascii="Arial" w:hAnsi="Arial" w:hint="cs"/>
          <w:noProof w:val="0"/>
          <w:rtl/>
        </w:rPr>
        <w:t>מתקיים מעשה בית דין שמחייב את דחיית התביעה.</w:t>
      </w:r>
      <w:r w:rsidR="000A3876">
        <w:rPr>
          <w:rFonts w:ascii="Arial" w:hAnsi="Arial" w:hint="cs"/>
          <w:noProof w:val="0"/>
          <w:rtl/>
        </w:rPr>
        <w:t xml:space="preserve"> בע"א 1041/97 </w:t>
      </w:r>
      <w:r w:rsidR="000A3876" w:rsidRPr="000A3876">
        <w:rPr>
          <w:rFonts w:ascii="Arial" w:hAnsi="Arial" w:hint="cs"/>
          <w:b/>
          <w:bCs/>
          <w:noProof w:val="0"/>
          <w:rtl/>
        </w:rPr>
        <w:t>אבי סררו</w:t>
      </w:r>
      <w:r w:rsidR="000A3876">
        <w:rPr>
          <w:rFonts w:ascii="Arial" w:hAnsi="Arial" w:hint="cs"/>
          <w:noProof w:val="0"/>
          <w:rtl/>
        </w:rPr>
        <w:t xml:space="preserve"> </w:t>
      </w:r>
      <w:r w:rsidR="009E6B4E" w:rsidRPr="00C1180B">
        <w:rPr>
          <w:rFonts w:ascii="Arial" w:hAnsi="Arial" w:hint="cs"/>
          <w:b/>
          <w:bCs/>
          <w:noProof w:val="0"/>
          <w:rtl/>
        </w:rPr>
        <w:t>נ' נעלי תומרס בע"מ</w:t>
      </w:r>
      <w:r w:rsidR="009E6B4E" w:rsidRPr="00DB6CDB">
        <w:rPr>
          <w:rFonts w:ascii="Arial" w:hAnsi="Arial" w:hint="cs"/>
          <w:noProof w:val="0"/>
          <w:rtl/>
        </w:rPr>
        <w:t xml:space="preserve"> (נבו, </w:t>
      </w:r>
      <w:r w:rsidR="0011361D">
        <w:rPr>
          <w:rFonts w:ascii="Arial" w:hAnsi="Arial" w:hint="cs"/>
          <w:noProof w:val="0"/>
          <w:rtl/>
        </w:rPr>
        <w:t>24.2.2000</w:t>
      </w:r>
      <w:r w:rsidR="009E6B4E" w:rsidRPr="00DB6CDB">
        <w:rPr>
          <w:rFonts w:ascii="Arial" w:hAnsi="Arial" w:hint="cs"/>
          <w:noProof w:val="0"/>
          <w:rtl/>
        </w:rPr>
        <w:t>) נקבע:</w:t>
      </w:r>
      <w:r w:rsidR="009E6B4E" w:rsidRPr="00DB6CDB">
        <w:rPr>
          <w:rFonts w:ascii="David" w:hAnsi="David" w:hint="cs"/>
          <w:rtl/>
        </w:rPr>
        <w:t xml:space="preserve"> </w:t>
      </w:r>
      <w:r w:rsidR="00C1180B">
        <w:rPr>
          <w:rFonts w:ascii="David" w:hAnsi="David" w:hint="cs"/>
          <w:rtl/>
        </w:rPr>
        <w:t>"</w:t>
      </w:r>
      <w:r w:rsidR="00546299" w:rsidRPr="00DB6CDB">
        <w:rPr>
          <w:rFonts w:ascii="David" w:hAnsi="David"/>
          <w:b/>
          <w:bCs/>
          <w:rtl/>
        </w:rPr>
        <w:t xml:space="preserve">הדוקטרינה של </w:t>
      </w:r>
      <w:r w:rsidR="00C1180B">
        <w:rPr>
          <w:rFonts w:ascii="David" w:hAnsi="David" w:hint="cs"/>
          <w:b/>
          <w:bCs/>
          <w:rtl/>
        </w:rPr>
        <w:t>"</w:t>
      </w:r>
      <w:r w:rsidR="00546299" w:rsidRPr="00DB6CDB">
        <w:rPr>
          <w:rFonts w:ascii="David" w:hAnsi="David"/>
          <w:b/>
          <w:bCs/>
          <w:rtl/>
        </w:rPr>
        <w:t>מעשה בית</w:t>
      </w:r>
      <w:r w:rsidR="00546299" w:rsidRPr="00DB6CDB">
        <w:rPr>
          <w:rFonts w:ascii="David" w:hAnsi="David"/>
          <w:b/>
          <w:bCs/>
          <w:position w:val="4"/>
          <w:rtl/>
        </w:rPr>
        <w:t>-</w:t>
      </w:r>
      <w:r w:rsidR="00546299" w:rsidRPr="00DB6CDB">
        <w:rPr>
          <w:rFonts w:ascii="David" w:hAnsi="David"/>
          <w:b/>
          <w:bCs/>
          <w:rtl/>
        </w:rPr>
        <w:t>דין</w:t>
      </w:r>
      <w:r w:rsidR="00C1180B">
        <w:rPr>
          <w:rFonts w:ascii="David" w:hAnsi="David" w:hint="cs"/>
          <w:b/>
          <w:bCs/>
          <w:rtl/>
        </w:rPr>
        <w:t>"</w:t>
      </w:r>
      <w:r w:rsidR="00546299" w:rsidRPr="00DB6CDB">
        <w:rPr>
          <w:rFonts w:ascii="David" w:hAnsi="David"/>
          <w:b/>
          <w:bCs/>
          <w:rtl/>
        </w:rPr>
        <w:t xml:space="preserve"> מושתתת על עקרון סופיות הדיון, ובמסגרתה אפשר להבחין בשני כללים עיקריים – "השתק עילה" ו"השתק פלוגתא". השתק עילה מקים מחסום דיוני בפני כל תביעה נוספת בשל אותה עילה, מקום שהתביעה נדונה לגופה והוכרעה על</w:t>
      </w:r>
      <w:r w:rsidR="00546299" w:rsidRPr="00DB6CDB">
        <w:rPr>
          <w:rFonts w:ascii="David" w:hAnsi="David"/>
          <w:b/>
          <w:bCs/>
          <w:position w:val="4"/>
          <w:rtl/>
        </w:rPr>
        <w:t>-</w:t>
      </w:r>
      <w:r w:rsidR="00546299" w:rsidRPr="00DB6CDB">
        <w:rPr>
          <w:rFonts w:ascii="David" w:hAnsi="David"/>
          <w:b/>
          <w:bCs/>
          <w:rtl/>
        </w:rPr>
        <w:t>ידי בית</w:t>
      </w:r>
      <w:r w:rsidR="00546299" w:rsidRPr="00DB6CDB">
        <w:rPr>
          <w:rFonts w:ascii="David" w:hAnsi="David"/>
          <w:b/>
          <w:bCs/>
          <w:position w:val="4"/>
          <w:rtl/>
        </w:rPr>
        <w:t>-</w:t>
      </w:r>
      <w:r w:rsidR="00546299" w:rsidRPr="00DB6CDB">
        <w:rPr>
          <w:rFonts w:ascii="David" w:hAnsi="David"/>
          <w:b/>
          <w:bCs/>
          <w:rtl/>
        </w:rPr>
        <w:t>משפט מוסמך"</w:t>
      </w:r>
      <w:r w:rsidR="00546299" w:rsidRPr="00DB6CDB">
        <w:rPr>
          <w:rFonts w:ascii="David" w:hAnsi="David"/>
          <w:rtl/>
        </w:rPr>
        <w:t xml:space="preserve"> (שם, עמ' 649)</w:t>
      </w:r>
      <w:r w:rsidR="009E6B4E" w:rsidRPr="00DB6CDB">
        <w:rPr>
          <w:rFonts w:ascii="David" w:hAnsi="David" w:hint="cs"/>
          <w:rtl/>
        </w:rPr>
        <w:t>.</w:t>
      </w:r>
      <w:r w:rsidR="00546299" w:rsidRPr="00DB6CDB">
        <w:rPr>
          <w:rFonts w:ascii="David" w:hAnsi="David"/>
          <w:rtl/>
        </w:rPr>
        <w:t xml:space="preserve">  </w:t>
      </w:r>
    </w:p>
    <w:p w:rsidR="009E6B4E" w:rsidRPr="008464C1" w:rsidRDefault="009E6B4E" w:rsidP="009E6B4E">
      <w:pPr>
        <w:pStyle w:val="ad"/>
        <w:rPr>
          <w:rFonts w:ascii="Arial" w:hAnsi="Arial"/>
          <w:noProof w:val="0"/>
          <w:sz w:val="16"/>
          <w:szCs w:val="16"/>
          <w:rtl/>
        </w:rPr>
      </w:pPr>
    </w:p>
    <w:p w:rsidR="00546299" w:rsidRPr="00DB6CDB" w:rsidRDefault="00546299" w:rsidP="005F6199">
      <w:pPr>
        <w:pStyle w:val="ad"/>
        <w:numPr>
          <w:ilvl w:val="0"/>
          <w:numId w:val="1"/>
        </w:numPr>
        <w:spacing w:line="360" w:lineRule="auto"/>
        <w:ind w:left="567" w:hanging="567"/>
        <w:jc w:val="both"/>
        <w:rPr>
          <w:rFonts w:ascii="Arial" w:hAnsi="Arial"/>
          <w:noProof w:val="0"/>
        </w:rPr>
      </w:pPr>
      <w:r w:rsidRPr="00DB6CDB">
        <w:rPr>
          <w:rFonts w:ascii="David" w:hAnsi="David"/>
          <w:rtl/>
        </w:rPr>
        <w:t>פרופ' נינה זלצמן</w:t>
      </w:r>
      <w:r w:rsidR="009E6B4E" w:rsidRPr="00DB6CDB">
        <w:rPr>
          <w:rFonts w:ascii="David" w:hAnsi="David" w:hint="cs"/>
          <w:b/>
          <w:bCs/>
          <w:rtl/>
        </w:rPr>
        <w:t xml:space="preserve"> </w:t>
      </w:r>
      <w:r w:rsidR="009E6B4E" w:rsidRPr="00DB6CDB">
        <w:rPr>
          <w:rFonts w:ascii="David" w:hAnsi="David" w:hint="cs"/>
          <w:rtl/>
        </w:rPr>
        <w:t>בספרה</w:t>
      </w:r>
      <w:r w:rsidRPr="00DB6CDB">
        <w:rPr>
          <w:rFonts w:ascii="David" w:hAnsi="David"/>
          <w:b/>
          <w:bCs/>
          <w:rtl/>
        </w:rPr>
        <w:t>, מעשה בית דין בהליך אזרחי</w:t>
      </w:r>
      <w:r w:rsidRPr="00DB6CDB">
        <w:rPr>
          <w:rFonts w:ascii="David" w:hAnsi="David"/>
          <w:rtl/>
        </w:rPr>
        <w:t>, הוצאת רמות</w:t>
      </w:r>
      <w:r w:rsidR="009E6B4E" w:rsidRPr="00DB6CDB">
        <w:rPr>
          <w:rFonts w:ascii="David" w:hAnsi="David" w:hint="cs"/>
          <w:rtl/>
        </w:rPr>
        <w:t xml:space="preserve"> (</w:t>
      </w:r>
      <w:r w:rsidRPr="00DB6CDB">
        <w:rPr>
          <w:rFonts w:ascii="David" w:hAnsi="David"/>
          <w:rtl/>
        </w:rPr>
        <w:t>1991</w:t>
      </w:r>
      <w:r w:rsidR="009E6B4E" w:rsidRPr="00DB6CDB">
        <w:rPr>
          <w:rFonts w:ascii="David" w:hAnsi="David" w:hint="cs"/>
          <w:rtl/>
        </w:rPr>
        <w:t>), התייחסה לנושא, לאמור</w:t>
      </w:r>
      <w:r w:rsidR="0011361D">
        <w:rPr>
          <w:rFonts w:ascii="David" w:hAnsi="David" w:hint="cs"/>
          <w:b/>
          <w:bCs/>
          <w:rtl/>
        </w:rPr>
        <w:t xml:space="preserve">: </w:t>
      </w:r>
      <w:r w:rsidRPr="00DB6CDB">
        <w:rPr>
          <w:rFonts w:ascii="David" w:hAnsi="David"/>
          <w:b/>
          <w:bCs/>
          <w:rtl/>
        </w:rPr>
        <w:t>"כלל ההשתק מחמת מעשה בית דין (</w:t>
      </w:r>
      <w:r w:rsidRPr="0011361D">
        <w:rPr>
          <w:b/>
          <w:bCs/>
          <w:sz w:val="20"/>
          <w:szCs w:val="20"/>
        </w:rPr>
        <w:t>Res Judicate</w:t>
      </w:r>
      <w:r w:rsidRPr="00DB6CDB">
        <w:rPr>
          <w:rFonts w:ascii="David" w:hAnsi="David"/>
          <w:b/>
          <w:bCs/>
          <w:rtl/>
        </w:rPr>
        <w:t>) מונע מבעלי הדין וחליפיהם</w:t>
      </w:r>
      <w:r w:rsidR="005F6199">
        <w:rPr>
          <w:rFonts w:ascii="David" w:hAnsi="David" w:hint="cs"/>
          <w:b/>
          <w:bCs/>
          <w:rtl/>
        </w:rPr>
        <w:t>...</w:t>
      </w:r>
      <w:r w:rsidRPr="00DB6CDB">
        <w:rPr>
          <w:rFonts w:ascii="David" w:hAnsi="David"/>
          <w:b/>
          <w:bCs/>
          <w:rtl/>
        </w:rPr>
        <w:t xml:space="preserve"> לשוב ולהתדיין בעילת תביעה או בפלוגתא שהוכרעה לגוף העניין בפסק דין תקף וסופי שניתן על ידי בית משפט מוסמך. יסודו של כלל המניעות הזה בעקרון סופיות הדיון, וטעמו העיקרי – למנוע ממי שניתנה לו הזדמנות הוגנת ומלאה למצות את עניינו בבית המשפט לשוב ולהטריד את מתן הכרעות סותרות על ידי המערכת השיפוטית</w:t>
      </w:r>
      <w:r w:rsidR="009E6B4E" w:rsidRPr="00DB6CDB">
        <w:rPr>
          <w:rFonts w:ascii="David" w:hAnsi="David" w:hint="cs"/>
          <w:b/>
          <w:bCs/>
          <w:rtl/>
        </w:rPr>
        <w:t xml:space="preserve">... </w:t>
      </w:r>
      <w:r w:rsidRPr="00DB6CDB">
        <w:rPr>
          <w:rFonts w:ascii="David" w:hAnsi="David"/>
          <w:b/>
          <w:bCs/>
          <w:rtl/>
        </w:rPr>
        <w:t>משנתן בית</w:t>
      </w:r>
      <w:r w:rsidRPr="00DB6CDB">
        <w:rPr>
          <w:rFonts w:ascii="David" w:hAnsi="David"/>
          <w:b/>
          <w:bCs/>
          <w:position w:val="4"/>
          <w:rtl/>
        </w:rPr>
        <w:t>-</w:t>
      </w:r>
      <w:r w:rsidRPr="00DB6CDB">
        <w:rPr>
          <w:rFonts w:ascii="David" w:hAnsi="David"/>
          <w:b/>
          <w:bCs/>
          <w:rtl/>
        </w:rPr>
        <w:t>משפט מוסמך פסק</w:t>
      </w:r>
      <w:r w:rsidRPr="00DB6CDB">
        <w:rPr>
          <w:rFonts w:ascii="David" w:hAnsi="David"/>
          <w:b/>
          <w:bCs/>
          <w:position w:val="4"/>
          <w:rtl/>
        </w:rPr>
        <w:t>-</w:t>
      </w:r>
      <w:r w:rsidRPr="00DB6CDB">
        <w:rPr>
          <w:rFonts w:ascii="David" w:hAnsi="David"/>
          <w:b/>
          <w:bCs/>
          <w:rtl/>
        </w:rPr>
        <w:t>דין סופי בהתדיינות כלשהי, מקים פסק</w:t>
      </w:r>
      <w:r w:rsidRPr="00DB6CDB">
        <w:rPr>
          <w:rFonts w:ascii="David" w:hAnsi="David"/>
          <w:b/>
          <w:bCs/>
          <w:position w:val="4"/>
          <w:rtl/>
        </w:rPr>
        <w:t>-</w:t>
      </w:r>
      <w:r w:rsidRPr="00DB6CDB">
        <w:rPr>
          <w:rFonts w:ascii="David" w:hAnsi="David"/>
          <w:b/>
          <w:bCs/>
          <w:rtl/>
        </w:rPr>
        <w:t>הדין מחסום דיוני לפני בעלי</w:t>
      </w:r>
      <w:r w:rsidRPr="00DB6CDB">
        <w:rPr>
          <w:rFonts w:ascii="David" w:hAnsi="David"/>
          <w:b/>
          <w:bCs/>
          <w:position w:val="4"/>
          <w:rtl/>
        </w:rPr>
        <w:t>-</w:t>
      </w:r>
      <w:r w:rsidRPr="00DB6CDB">
        <w:rPr>
          <w:rFonts w:ascii="David" w:hAnsi="David"/>
          <w:b/>
          <w:bCs/>
          <w:rtl/>
        </w:rPr>
        <w:t>הדין, המונע כל התדיינות נוספת ביניהם בנושא או בשאלה שהוכרעו בפסק</w:t>
      </w:r>
      <w:r w:rsidRPr="00DB6CDB">
        <w:rPr>
          <w:rFonts w:ascii="David" w:hAnsi="David"/>
          <w:b/>
          <w:bCs/>
          <w:position w:val="4"/>
          <w:rtl/>
        </w:rPr>
        <w:t>-</w:t>
      </w:r>
      <w:r w:rsidRPr="00DB6CDB">
        <w:rPr>
          <w:rFonts w:ascii="David" w:hAnsi="David"/>
          <w:b/>
          <w:bCs/>
          <w:rtl/>
        </w:rPr>
        <w:t>הדין. כל עוד לא בוטל פסק</w:t>
      </w:r>
      <w:r w:rsidRPr="00DB6CDB">
        <w:rPr>
          <w:rFonts w:ascii="David" w:hAnsi="David"/>
          <w:b/>
          <w:bCs/>
          <w:position w:val="4"/>
          <w:rtl/>
        </w:rPr>
        <w:t>-</w:t>
      </w:r>
      <w:r w:rsidRPr="00DB6CDB">
        <w:rPr>
          <w:rFonts w:ascii="David" w:hAnsi="David"/>
          <w:b/>
          <w:bCs/>
          <w:rtl/>
        </w:rPr>
        <w:t>הדין, בין על</w:t>
      </w:r>
      <w:r w:rsidRPr="00DB6CDB">
        <w:rPr>
          <w:rFonts w:ascii="David" w:hAnsi="David"/>
          <w:b/>
          <w:bCs/>
          <w:position w:val="4"/>
          <w:rtl/>
        </w:rPr>
        <w:t>-</w:t>
      </w:r>
      <w:r w:rsidRPr="00DB6CDB">
        <w:rPr>
          <w:rFonts w:ascii="David" w:hAnsi="David"/>
          <w:b/>
          <w:bCs/>
          <w:rtl/>
        </w:rPr>
        <w:t>ידי ערכאת ערעור ובין על</w:t>
      </w:r>
      <w:r w:rsidRPr="00DB6CDB">
        <w:rPr>
          <w:rFonts w:ascii="David" w:hAnsi="David"/>
          <w:b/>
          <w:bCs/>
          <w:position w:val="4"/>
          <w:rtl/>
        </w:rPr>
        <w:t>-</w:t>
      </w:r>
      <w:r w:rsidRPr="00DB6CDB">
        <w:rPr>
          <w:rFonts w:ascii="David" w:hAnsi="David"/>
          <w:b/>
          <w:bCs/>
          <w:rtl/>
        </w:rPr>
        <w:t>ידי בית</w:t>
      </w:r>
      <w:r w:rsidRPr="00DB6CDB">
        <w:rPr>
          <w:rFonts w:ascii="David" w:hAnsi="David"/>
          <w:b/>
          <w:bCs/>
          <w:position w:val="4"/>
          <w:rtl/>
        </w:rPr>
        <w:t>-</w:t>
      </w:r>
      <w:r w:rsidRPr="00DB6CDB">
        <w:rPr>
          <w:rFonts w:ascii="David" w:hAnsi="David"/>
          <w:b/>
          <w:bCs/>
          <w:rtl/>
        </w:rPr>
        <w:t>המשפט שנתנו, מחייב פסק</w:t>
      </w:r>
      <w:r w:rsidRPr="00DB6CDB">
        <w:rPr>
          <w:rFonts w:ascii="David" w:hAnsi="David"/>
          <w:b/>
          <w:bCs/>
          <w:position w:val="4"/>
          <w:rtl/>
        </w:rPr>
        <w:t>-</w:t>
      </w:r>
      <w:r w:rsidRPr="00DB6CDB">
        <w:rPr>
          <w:rFonts w:ascii="David" w:hAnsi="David"/>
          <w:b/>
          <w:bCs/>
          <w:rtl/>
        </w:rPr>
        <w:t xml:space="preserve">הדין את הצדדים לו ביחס לכל קביעה עובדתית או משפטית הכלולה בו, ואין איש מהם יכול להעלות, במסגרת התדיינות אחרת כלשהי ביניהם, טענה העומדת בסתירה לקביעה זו" </w:t>
      </w:r>
      <w:r w:rsidRPr="00DB6CDB">
        <w:rPr>
          <w:rFonts w:ascii="David" w:hAnsi="David"/>
          <w:rtl/>
        </w:rPr>
        <w:t>(שם,עמ' 3-4).</w:t>
      </w:r>
    </w:p>
    <w:p w:rsidR="008464C1" w:rsidRPr="005F6199" w:rsidRDefault="008464C1" w:rsidP="004F0CFB">
      <w:pPr>
        <w:pStyle w:val="ad"/>
        <w:rPr>
          <w:rFonts w:ascii="Arial" w:hAnsi="Arial"/>
          <w:noProof w:val="0"/>
          <w:sz w:val="16"/>
          <w:szCs w:val="16"/>
          <w:rtl/>
        </w:rPr>
      </w:pPr>
    </w:p>
    <w:p w:rsidR="00546299" w:rsidRPr="00DB6CDB" w:rsidRDefault="00546299" w:rsidP="004F0CFB">
      <w:pPr>
        <w:pStyle w:val="ad"/>
        <w:numPr>
          <w:ilvl w:val="0"/>
          <w:numId w:val="1"/>
        </w:numPr>
        <w:spacing w:line="360" w:lineRule="auto"/>
        <w:ind w:left="567" w:hanging="567"/>
        <w:jc w:val="both"/>
        <w:rPr>
          <w:rFonts w:ascii="Arial" w:hAnsi="Arial"/>
          <w:noProof w:val="0"/>
        </w:rPr>
      </w:pPr>
      <w:r w:rsidRPr="00DB6CDB">
        <w:rPr>
          <w:rFonts w:ascii="David" w:hAnsi="David"/>
          <w:rtl/>
        </w:rPr>
        <w:t>כאמור, כלל זה מבוסס על עקרון סופיות הדיון. עיקרון זה מעוגן בשני שיקולים עיקריים שבטובת הציבור: טעם אחד עניינו בהפעלה יעילה של מערכת המשפט ובמניעת הכרעות סותרות העלולות לפגוע ביציבות המשפט וביוקרת בתי</w:t>
      </w:r>
      <w:r w:rsidRPr="00DB6CDB">
        <w:rPr>
          <w:rFonts w:ascii="David" w:hAnsi="David"/>
          <w:position w:val="4"/>
          <w:rtl/>
        </w:rPr>
        <w:t>-</w:t>
      </w:r>
      <w:r w:rsidRPr="00DB6CDB">
        <w:rPr>
          <w:rFonts w:ascii="David" w:hAnsi="David"/>
          <w:rtl/>
        </w:rPr>
        <w:t>המשפט. טעם שני עניינו באינטרס כי ייעשה צדק עם בעל</w:t>
      </w:r>
      <w:r w:rsidRPr="00DB6CDB">
        <w:rPr>
          <w:rFonts w:ascii="David" w:hAnsi="David"/>
          <w:position w:val="4"/>
          <w:rtl/>
        </w:rPr>
        <w:t>-</w:t>
      </w:r>
      <w:r w:rsidRPr="00DB6CDB">
        <w:rPr>
          <w:rFonts w:ascii="David" w:hAnsi="David"/>
          <w:rtl/>
        </w:rPr>
        <w:t xml:space="preserve">הדין האחר, כך </w:t>
      </w:r>
      <w:r w:rsidRPr="00DB6CDB">
        <w:rPr>
          <w:rFonts w:ascii="David" w:hAnsi="David"/>
          <w:b/>
          <w:bCs/>
          <w:rtl/>
        </w:rPr>
        <w:t>"שלא יהא נטרד פעמיים או יותר בשל אותה עילה או אותה פלוגתא..."</w:t>
      </w:r>
      <w:r w:rsidRPr="00DB6CDB">
        <w:rPr>
          <w:rFonts w:ascii="David" w:hAnsi="David"/>
          <w:rtl/>
        </w:rPr>
        <w:t xml:space="preserve"> (זלצמן, עמ' 13).</w:t>
      </w:r>
    </w:p>
    <w:p w:rsidR="004F0CFB" w:rsidRDefault="004F0CFB" w:rsidP="004F0CFB">
      <w:pPr>
        <w:pStyle w:val="ad"/>
        <w:spacing w:line="360" w:lineRule="auto"/>
        <w:ind w:left="567"/>
        <w:jc w:val="both"/>
        <w:rPr>
          <w:rFonts w:ascii="Arial" w:hAnsi="Arial"/>
          <w:noProof w:val="0"/>
          <w:sz w:val="16"/>
          <w:szCs w:val="16"/>
          <w:rtl/>
        </w:rPr>
      </w:pPr>
    </w:p>
    <w:p w:rsidR="005F6199" w:rsidRDefault="005F6199" w:rsidP="004F0CFB">
      <w:pPr>
        <w:pStyle w:val="ad"/>
        <w:spacing w:line="360" w:lineRule="auto"/>
        <w:ind w:left="567"/>
        <w:jc w:val="both"/>
        <w:rPr>
          <w:rFonts w:ascii="Arial" w:hAnsi="Arial"/>
          <w:noProof w:val="0"/>
          <w:sz w:val="16"/>
          <w:szCs w:val="16"/>
          <w:rtl/>
        </w:rPr>
      </w:pPr>
    </w:p>
    <w:p w:rsidR="005F6199" w:rsidRDefault="005F6199" w:rsidP="004F0CFB">
      <w:pPr>
        <w:pStyle w:val="ad"/>
        <w:spacing w:line="360" w:lineRule="auto"/>
        <w:ind w:left="567"/>
        <w:jc w:val="both"/>
        <w:rPr>
          <w:rFonts w:ascii="Arial" w:hAnsi="Arial"/>
          <w:noProof w:val="0"/>
          <w:sz w:val="16"/>
          <w:szCs w:val="16"/>
          <w:rtl/>
        </w:rPr>
      </w:pPr>
    </w:p>
    <w:p w:rsidR="005F6199" w:rsidRDefault="005F6199" w:rsidP="004F0CFB">
      <w:pPr>
        <w:pStyle w:val="ad"/>
        <w:spacing w:line="360" w:lineRule="auto"/>
        <w:ind w:left="567"/>
        <w:jc w:val="both"/>
        <w:rPr>
          <w:rFonts w:ascii="Arial" w:hAnsi="Arial"/>
          <w:noProof w:val="0"/>
          <w:sz w:val="16"/>
          <w:szCs w:val="16"/>
          <w:rtl/>
        </w:rPr>
      </w:pPr>
    </w:p>
    <w:p w:rsidR="005F6199" w:rsidRPr="008464C1" w:rsidRDefault="005F6199" w:rsidP="004F0CFB">
      <w:pPr>
        <w:pStyle w:val="ad"/>
        <w:spacing w:line="360" w:lineRule="auto"/>
        <w:ind w:left="567"/>
        <w:jc w:val="both"/>
        <w:rPr>
          <w:rFonts w:ascii="Arial" w:hAnsi="Arial"/>
          <w:noProof w:val="0"/>
          <w:sz w:val="16"/>
          <w:szCs w:val="16"/>
          <w:rtl/>
        </w:rPr>
      </w:pPr>
    </w:p>
    <w:p w:rsidR="00546299" w:rsidRPr="00DB6CDB" w:rsidRDefault="004F0CFB" w:rsidP="000A3876">
      <w:pPr>
        <w:pStyle w:val="ad"/>
        <w:numPr>
          <w:ilvl w:val="0"/>
          <w:numId w:val="1"/>
        </w:numPr>
        <w:spacing w:line="360" w:lineRule="auto"/>
        <w:ind w:left="567" w:hanging="567"/>
        <w:jc w:val="both"/>
        <w:rPr>
          <w:rFonts w:ascii="Arial" w:hAnsi="Arial"/>
          <w:noProof w:val="0"/>
        </w:rPr>
      </w:pPr>
      <w:r w:rsidRPr="00DB6CDB">
        <w:rPr>
          <w:rFonts w:ascii="Arial" w:hAnsi="Arial" w:hint="cs"/>
          <w:noProof w:val="0"/>
          <w:rtl/>
        </w:rPr>
        <w:lastRenderedPageBreak/>
        <w:t>לצערי הרב, התובע אשר</w:t>
      </w:r>
      <w:r w:rsidR="008464C1">
        <w:rPr>
          <w:rFonts w:ascii="Arial" w:hAnsi="Arial" w:hint="cs"/>
          <w:noProof w:val="0"/>
          <w:rtl/>
        </w:rPr>
        <w:t>, ככל הנראה,</w:t>
      </w:r>
      <w:r w:rsidRPr="00DB6CDB">
        <w:rPr>
          <w:rFonts w:ascii="Arial" w:hAnsi="Arial" w:hint="cs"/>
          <w:noProof w:val="0"/>
          <w:rtl/>
        </w:rPr>
        <w:t xml:space="preserve"> לא היה מרוצה מ</w:t>
      </w:r>
      <w:r w:rsidR="000A3876">
        <w:rPr>
          <w:rFonts w:ascii="Arial" w:hAnsi="Arial" w:hint="cs"/>
          <w:noProof w:val="0"/>
          <w:rtl/>
        </w:rPr>
        <w:t xml:space="preserve">תוצאת </w:t>
      </w:r>
      <w:r w:rsidRPr="00DB6CDB">
        <w:rPr>
          <w:rFonts w:ascii="Arial" w:hAnsi="Arial" w:hint="cs"/>
          <w:noProof w:val="0"/>
          <w:rtl/>
        </w:rPr>
        <w:t xml:space="preserve">פסק דינו של בית המשפט המחוזי, שלהזכיר, ניתן בהסכמתו, סבר כי ניתן יהיה 'לפתוח' את הסכסוך המשפטי בהגשת תביעתו זו. התובע מסרב להסכין עם פסקי הדין שניתנו </w:t>
      </w:r>
      <w:r w:rsidR="008464C1">
        <w:rPr>
          <w:rFonts w:ascii="Arial" w:hAnsi="Arial" w:hint="cs"/>
          <w:noProof w:val="0"/>
          <w:rtl/>
        </w:rPr>
        <w:t xml:space="preserve">בעניינו </w:t>
      </w:r>
      <w:r w:rsidRPr="00DB6CDB">
        <w:rPr>
          <w:rFonts w:ascii="Arial" w:hAnsi="Arial" w:hint="cs"/>
          <w:noProof w:val="0"/>
          <w:rtl/>
        </w:rPr>
        <w:t>והוא בוחר למחזר טענותיו פעם אחר פעם, ובכל הכבוד, קטונתי מלהבין את שיקוליו ו/או מניעיו שכן הדין ברור ולא מאפשר כל דיון ענייני בתביעתו החדשה.</w:t>
      </w:r>
    </w:p>
    <w:p w:rsidR="004F0CFB" w:rsidRPr="008E5078" w:rsidRDefault="004F0CFB" w:rsidP="004F0CFB">
      <w:pPr>
        <w:pStyle w:val="ad"/>
        <w:rPr>
          <w:rFonts w:ascii="Arial" w:hAnsi="Arial"/>
          <w:noProof w:val="0"/>
          <w:sz w:val="16"/>
          <w:szCs w:val="16"/>
          <w:rtl/>
        </w:rPr>
      </w:pPr>
    </w:p>
    <w:p w:rsidR="004F0CFB" w:rsidRDefault="008E5078" w:rsidP="0036130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אשר על כן ועל יסוד הוראת תקנה 43 לתקנות סדר הדין האזרחי, תשע"ט </w:t>
      </w:r>
      <w:r>
        <w:rPr>
          <w:rFonts w:ascii="Arial" w:hAnsi="Arial"/>
          <w:noProof w:val="0"/>
          <w:rtl/>
        </w:rPr>
        <w:t>–</w:t>
      </w:r>
      <w:r>
        <w:rPr>
          <w:rFonts w:ascii="Arial" w:hAnsi="Arial" w:hint="cs"/>
          <w:noProof w:val="0"/>
          <w:rtl/>
        </w:rPr>
        <w:t xml:space="preserve"> 2018, אני מורה על דחיית התביעה.</w:t>
      </w:r>
    </w:p>
    <w:p w:rsidR="008E5078" w:rsidRPr="0011361D" w:rsidRDefault="008E5078" w:rsidP="008E5078">
      <w:pPr>
        <w:pStyle w:val="ad"/>
        <w:rPr>
          <w:rFonts w:ascii="Arial" w:hAnsi="Arial"/>
          <w:noProof w:val="0"/>
          <w:sz w:val="16"/>
          <w:szCs w:val="16"/>
          <w:rtl/>
        </w:rPr>
      </w:pPr>
    </w:p>
    <w:p w:rsidR="005C41F1" w:rsidRPr="005C41F1" w:rsidRDefault="008E5078" w:rsidP="00EC0B57">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עוד אבקש להזכיר את הוראות תקנה 3(ב) לתקנות הנ"ל, ולפיה: </w:t>
      </w:r>
      <w:r w:rsidRPr="008E5078">
        <w:rPr>
          <w:rFonts w:ascii="Arial" w:hAnsi="Arial" w:hint="cs"/>
          <w:b/>
          <w:bCs/>
          <w:noProof w:val="0"/>
          <w:rtl/>
        </w:rPr>
        <w:t>"</w:t>
      </w:r>
      <w:r w:rsidRPr="008E5078">
        <w:rPr>
          <w:rFonts w:ascii="Arial" w:hAnsi="Arial"/>
          <w:b/>
          <w:bCs/>
          <w:noProof w:val="0"/>
          <w:rtl/>
        </w:rPr>
        <w:t>חובת בעלי הדין ובאי כוחם היא לסייע לבית המשפט בקיום המוטל עליו לפי תקנות אלה, וכן לנהוג בתום לב ובהגינות דיונית תוך שהם מסייעים במימוש התכלית הדיונית, ובכלל זה העמדת הפלוגתות האמיתיות שבמחלוקת בין בעלי הדין, מיקודן, בירורן והכרעה בהן</w:t>
      </w:r>
      <w:r w:rsidRPr="008E5078">
        <w:rPr>
          <w:rFonts w:ascii="Arial" w:hAnsi="Arial" w:hint="cs"/>
          <w:b/>
          <w:bCs/>
          <w:noProof w:val="0"/>
          <w:rtl/>
        </w:rPr>
        <w:t>"</w:t>
      </w:r>
      <w:r w:rsidRPr="008E5078">
        <w:rPr>
          <w:rFonts w:ascii="Arial" w:hAnsi="Arial"/>
          <w:noProof w:val="0"/>
          <w:rtl/>
        </w:rPr>
        <w:t>.</w:t>
      </w:r>
      <w:r>
        <w:rPr>
          <w:rFonts w:ascii="Arial" w:hAnsi="Arial" w:hint="cs"/>
          <w:noProof w:val="0"/>
          <w:rtl/>
        </w:rPr>
        <w:t xml:space="preserve"> לצערי, דבר מכל זאת לא נעשה וכל שנעשה הוא בבחינת ההיפך הגמור מכך. עוד אבקש להזכיר א</w:t>
      </w:r>
      <w:r w:rsidR="00EC0B57">
        <w:rPr>
          <w:rFonts w:ascii="Arial" w:hAnsi="Arial" w:hint="cs"/>
          <w:noProof w:val="0"/>
          <w:rtl/>
        </w:rPr>
        <w:t>ת</w:t>
      </w:r>
      <w:r>
        <w:rPr>
          <w:rFonts w:ascii="Arial" w:hAnsi="Arial" w:hint="cs"/>
          <w:noProof w:val="0"/>
          <w:rtl/>
        </w:rPr>
        <w:t xml:space="preserve"> הוראת תקנה 4 לתקנות הנ"ל: </w:t>
      </w:r>
      <w:r w:rsidRPr="008E5078">
        <w:rPr>
          <w:rFonts w:ascii="Arial" w:hAnsi="Arial" w:hint="cs"/>
          <w:b/>
          <w:bCs/>
          <w:noProof w:val="0"/>
          <w:rtl/>
        </w:rPr>
        <w:t>"</w:t>
      </w:r>
      <w:r w:rsidRPr="008E5078">
        <w:rPr>
          <w:rFonts w:ascii="Arial" w:hAnsi="Arial"/>
          <w:b/>
          <w:bCs/>
          <w:noProof w:val="0"/>
          <w:rtl/>
        </w:rPr>
        <w:t>לא יעשה בעל דין או בא כוחו שימוש לרעה בהליכי משפט ובכלל זאת פעולה בהליך שמטרתה או תוצאתה לשבשו, להשהותו או להטריד בעל דין, לרבות פעולה בלתי מידתית לאופי הדיון, לעלותו או למורכבותו"</w:t>
      </w:r>
      <w:r w:rsidR="005C41F1" w:rsidRPr="005C41F1">
        <w:rPr>
          <w:rFonts w:ascii="Arial" w:hAnsi="Arial" w:hint="cs"/>
          <w:noProof w:val="0"/>
          <w:rtl/>
        </w:rPr>
        <w:t>, שאף אותה מצאתי, לצערי, רלוונטית למעשיו ומחדליו של התו</w:t>
      </w:r>
      <w:r w:rsidR="005C41F1">
        <w:rPr>
          <w:rFonts w:ascii="Arial" w:hAnsi="Arial" w:hint="cs"/>
          <w:noProof w:val="0"/>
          <w:rtl/>
        </w:rPr>
        <w:t>ב</w:t>
      </w:r>
      <w:r w:rsidR="005C41F1" w:rsidRPr="005C41F1">
        <w:rPr>
          <w:rFonts w:ascii="Arial" w:hAnsi="Arial" w:hint="cs"/>
          <w:noProof w:val="0"/>
          <w:rtl/>
        </w:rPr>
        <w:t>ע.</w:t>
      </w:r>
    </w:p>
    <w:p w:rsidR="005C41F1" w:rsidRPr="00EC0B57" w:rsidRDefault="005C41F1" w:rsidP="005C41F1">
      <w:pPr>
        <w:pStyle w:val="ad"/>
        <w:rPr>
          <w:rFonts w:ascii="Arial" w:hAnsi="Arial"/>
          <w:noProof w:val="0"/>
          <w:sz w:val="16"/>
          <w:szCs w:val="16"/>
          <w:rtl/>
        </w:rPr>
      </w:pPr>
    </w:p>
    <w:p w:rsidR="008E5078" w:rsidRDefault="0011361D" w:rsidP="00EC0B57">
      <w:pPr>
        <w:pStyle w:val="ad"/>
        <w:numPr>
          <w:ilvl w:val="0"/>
          <w:numId w:val="1"/>
        </w:numPr>
        <w:spacing w:line="360" w:lineRule="auto"/>
        <w:ind w:left="567" w:hanging="567"/>
        <w:jc w:val="both"/>
        <w:rPr>
          <w:rFonts w:ascii="Arial" w:hAnsi="Arial"/>
          <w:noProof w:val="0"/>
        </w:rPr>
      </w:pPr>
      <w:r>
        <w:rPr>
          <w:rFonts w:ascii="Arial" w:hAnsi="Arial" w:hint="cs"/>
          <w:noProof w:val="0"/>
          <w:rtl/>
        </w:rPr>
        <w:t>אשר להוצאות הליך; משהנתבעת מיוצגת על ידי עו"ד מטעם הלשכה לסיוע משפטי, מצאתי לחייב את ה</w:t>
      </w:r>
      <w:r w:rsidR="00EC0B57">
        <w:rPr>
          <w:rFonts w:ascii="Arial" w:hAnsi="Arial" w:hint="cs"/>
          <w:noProof w:val="0"/>
          <w:rtl/>
        </w:rPr>
        <w:t xml:space="preserve">תובע </w:t>
      </w:r>
      <w:r>
        <w:rPr>
          <w:rFonts w:ascii="Arial" w:hAnsi="Arial" w:hint="cs"/>
          <w:noProof w:val="0"/>
          <w:rtl/>
        </w:rPr>
        <w:t>בהוצאות לטובת המדינה בסך כולל של 5,000 ₪. כמו כן, לנוכח הטרחה וכילוי הזמן של הנתבעת (ר' גם דבריה שצוטטו לעיל), מצאתי לחייב את התובע בהוצאותיה בסך של 2,000 ₪.</w:t>
      </w:r>
      <w:r w:rsidR="005F6199">
        <w:rPr>
          <w:rFonts w:ascii="Arial" w:hAnsi="Arial" w:hint="cs"/>
          <w:noProof w:val="0"/>
          <w:rtl/>
        </w:rPr>
        <w:t xml:space="preserve"> כל הסכומים ישולמו בתוך 15 ימים, שאחרת יישאו הפרשי הצמדה וריבית פיגורים מהיום ועד לתשלום בפועל.</w:t>
      </w:r>
    </w:p>
    <w:p w:rsidR="0011361D" w:rsidRPr="005F6199" w:rsidRDefault="0011361D" w:rsidP="0011361D">
      <w:pPr>
        <w:pStyle w:val="ad"/>
        <w:rPr>
          <w:rFonts w:ascii="Arial" w:hAnsi="Arial"/>
          <w:noProof w:val="0"/>
          <w:sz w:val="16"/>
          <w:szCs w:val="16"/>
          <w:rtl/>
        </w:rPr>
      </w:pPr>
    </w:p>
    <w:p w:rsidR="0011361D" w:rsidRDefault="0011361D" w:rsidP="0011361D">
      <w:pPr>
        <w:pStyle w:val="ad"/>
        <w:numPr>
          <w:ilvl w:val="0"/>
          <w:numId w:val="1"/>
        </w:numPr>
        <w:spacing w:line="360" w:lineRule="auto"/>
        <w:ind w:left="567" w:hanging="567"/>
        <w:jc w:val="both"/>
        <w:rPr>
          <w:rFonts w:ascii="Arial" w:hAnsi="Arial"/>
          <w:noProof w:val="0"/>
        </w:rPr>
      </w:pPr>
      <w:r>
        <w:rPr>
          <w:rFonts w:ascii="Arial" w:hAnsi="Arial" w:hint="cs"/>
          <w:noProof w:val="0"/>
          <w:rtl/>
        </w:rPr>
        <w:t>פסק הדין מותר בפרסום בהשמטת פרטים מזהים.</w:t>
      </w:r>
    </w:p>
    <w:p w:rsidR="0011361D" w:rsidRPr="0011361D" w:rsidRDefault="0011361D" w:rsidP="0011361D">
      <w:pPr>
        <w:pStyle w:val="ad"/>
        <w:rPr>
          <w:rFonts w:ascii="Arial" w:hAnsi="Arial"/>
          <w:noProof w:val="0"/>
          <w:sz w:val="16"/>
          <w:szCs w:val="16"/>
          <w:rtl/>
        </w:rPr>
      </w:pPr>
    </w:p>
    <w:p w:rsidR="0011361D" w:rsidRPr="008E5078" w:rsidRDefault="0011361D" w:rsidP="0011361D">
      <w:pPr>
        <w:pStyle w:val="ad"/>
        <w:numPr>
          <w:ilvl w:val="0"/>
          <w:numId w:val="1"/>
        </w:numPr>
        <w:spacing w:line="360" w:lineRule="auto"/>
        <w:ind w:left="567" w:hanging="567"/>
        <w:jc w:val="both"/>
        <w:rPr>
          <w:rFonts w:ascii="Arial" w:hAnsi="Arial"/>
          <w:noProof w:val="0"/>
        </w:rPr>
      </w:pPr>
      <w:r>
        <w:rPr>
          <w:rFonts w:ascii="Arial" w:hAnsi="Arial" w:hint="cs"/>
          <w:noProof w:val="0"/>
          <w:rtl/>
        </w:rPr>
        <w:t>התיק ייסגר.</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כ"ט ניסן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20 אפריל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DE3BD6">
      <w:pPr>
        <w:spacing w:line="360" w:lineRule="auto"/>
        <w:ind w:left="3600" w:firstLine="720"/>
        <w:jc w:val="both"/>
      </w:pPr>
      <w:sdt>
        <w:sdtPr>
          <w:rPr>
            <w:rtl/>
          </w:rPr>
          <w:alias w:val="MergeField"/>
          <w:tag w:val="1237"/>
          <w:id w:val="-1972278233"/>
        </w:sdtPr>
        <w:sdtEndPr/>
        <w:sdtContent>
          <w:r w:rsidR="00244351">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BD6" w:rsidRDefault="00DE3BD6">
      <w:r>
        <w:separator/>
      </w:r>
    </w:p>
  </w:endnote>
  <w:endnote w:type="continuationSeparator" w:id="0">
    <w:p w:rsidR="00DE3BD6" w:rsidRDefault="00DE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B1F5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B1F5D">
      <w:rPr>
        <w:rStyle w:val="ab"/>
        <w:rtl/>
      </w:rPr>
      <w:t>4</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BD6" w:rsidRDefault="00DE3BD6">
      <w:r>
        <w:separator/>
      </w:r>
    </w:p>
  </w:footnote>
  <w:footnote w:type="continuationSeparator" w:id="0">
    <w:p w:rsidR="00DE3BD6" w:rsidRDefault="00DE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0A3876">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0A3876">
      <w:trPr>
        <w:trHeight w:val="337"/>
        <w:jc w:val="center"/>
      </w:trPr>
      <w:tc>
        <w:tcPr>
          <w:tcW w:w="8505" w:type="dxa"/>
        </w:tcPr>
        <w:p w:rsidR="002914D6" w:rsidRPr="000A3876" w:rsidRDefault="00DE3BD6" w:rsidP="00EC0B57">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1891-02-23</w:t>
              </w:r>
            </w:sdtContent>
          </w:sdt>
          <w:r w:rsidR="00011212">
            <w:rPr>
              <w:b/>
              <w:bCs/>
              <w:noProof w:val="0"/>
              <w:sz w:val="26"/>
              <w:szCs w:val="26"/>
              <w:rtl/>
            </w:rPr>
            <w:t xml:space="preserve"> </w:t>
          </w:r>
          <w:sdt>
            <w:sdtPr>
              <w:rPr>
                <w:rtl/>
              </w:rPr>
              <w:alias w:val="1172"/>
              <w:tag w:val="1172"/>
              <w:id w:val="-673653942"/>
              <w:text w:multiLine="1"/>
            </w:sdtPr>
            <w:sdtEndPr/>
            <w:sdtContent>
              <w:r w:rsidR="00EC0B57">
                <w:rPr>
                  <w:rFonts w:hint="cs"/>
                  <w:b/>
                  <w:bCs/>
                  <w:noProof w:val="0"/>
                  <w:sz w:val="26"/>
                  <w:szCs w:val="26"/>
                  <w:rtl/>
                </w:rPr>
                <w:t>פלוני נ' פלונית</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1D79DE"/>
    <w:multiLevelType w:val="hybridMultilevel"/>
    <w:tmpl w:val="6DE45A78"/>
    <w:lvl w:ilvl="0" w:tplc="13D89AAE">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328F0"/>
    <w:rsid w:val="00036C79"/>
    <w:rsid w:val="000708BC"/>
    <w:rsid w:val="000A3876"/>
    <w:rsid w:val="0011361D"/>
    <w:rsid w:val="001B1F5D"/>
    <w:rsid w:val="00244351"/>
    <w:rsid w:val="00265648"/>
    <w:rsid w:val="002914D6"/>
    <w:rsid w:val="002F5307"/>
    <w:rsid w:val="00361304"/>
    <w:rsid w:val="004638D6"/>
    <w:rsid w:val="00467B56"/>
    <w:rsid w:val="004C3E89"/>
    <w:rsid w:val="004F0CFB"/>
    <w:rsid w:val="00546299"/>
    <w:rsid w:val="005C41F1"/>
    <w:rsid w:val="005F6199"/>
    <w:rsid w:val="00666802"/>
    <w:rsid w:val="006C4051"/>
    <w:rsid w:val="0073542B"/>
    <w:rsid w:val="007C1077"/>
    <w:rsid w:val="007C6BD7"/>
    <w:rsid w:val="00822AA5"/>
    <w:rsid w:val="00830879"/>
    <w:rsid w:val="008464C1"/>
    <w:rsid w:val="008E5078"/>
    <w:rsid w:val="0091072C"/>
    <w:rsid w:val="009108D7"/>
    <w:rsid w:val="009232E6"/>
    <w:rsid w:val="00991674"/>
    <w:rsid w:val="009E6B4E"/>
    <w:rsid w:val="00B47BF6"/>
    <w:rsid w:val="00B67509"/>
    <w:rsid w:val="00BD18F5"/>
    <w:rsid w:val="00BD5B6B"/>
    <w:rsid w:val="00C1180B"/>
    <w:rsid w:val="00C40239"/>
    <w:rsid w:val="00C931BD"/>
    <w:rsid w:val="00D358FE"/>
    <w:rsid w:val="00D54B3A"/>
    <w:rsid w:val="00D76381"/>
    <w:rsid w:val="00D834D4"/>
    <w:rsid w:val="00DB6CDB"/>
    <w:rsid w:val="00DE3BD6"/>
    <w:rsid w:val="00E9298F"/>
    <w:rsid w:val="00EC0165"/>
    <w:rsid w:val="00EC0B57"/>
    <w:rsid w:val="00F50E07"/>
    <w:rsid w:val="00F706EB"/>
    <w:rsid w:val="00FC3D4E"/>
    <w:rsid w:val="00FD328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92764D-3685-44E8-887A-6842BE65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FD3287"/>
    <w:pPr>
      <w:ind w:left="720"/>
      <w:contextualSpacing/>
    </w:pPr>
  </w:style>
  <w:style w:type="character" w:styleId="Hyperlink">
    <w:name w:val="Hyperlink"/>
    <w:basedOn w:val="a0"/>
    <w:uiPriority w:val="99"/>
    <w:semiHidden/>
    <w:unhideWhenUsed/>
    <w:rsid w:val="00546299"/>
    <w:rPr>
      <w:color w:val="0563C1"/>
      <w:u w:val="single"/>
    </w:rPr>
  </w:style>
  <w:style w:type="paragraph" w:styleId="ae">
    <w:name w:val="Body Text"/>
    <w:basedOn w:val="a"/>
    <w:link w:val="af"/>
    <w:uiPriority w:val="99"/>
    <w:semiHidden/>
    <w:unhideWhenUsed/>
    <w:rsid w:val="00546299"/>
    <w:pPr>
      <w:spacing w:after="120"/>
    </w:pPr>
    <w:rPr>
      <w:rFonts w:eastAsiaTheme="minorHAnsi" w:cs="Times New Roman"/>
      <w:noProof w:val="0"/>
      <w:lang w:eastAsia="he-IL"/>
    </w:rPr>
  </w:style>
  <w:style w:type="character" w:customStyle="1" w:styleId="af">
    <w:name w:val="גוף טקסט תו"/>
    <w:basedOn w:val="a0"/>
    <w:link w:val="ae"/>
    <w:uiPriority w:val="99"/>
    <w:semiHidden/>
    <w:rsid w:val="00546299"/>
    <w:rPr>
      <w:rFonts w:eastAsiaTheme="minorHAnsi"/>
      <w:sz w:val="24"/>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5975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585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6B0EC9"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5665DD"/>
    <w:rsid w:val="006B0EC9"/>
    <w:rsid w:val="006D467C"/>
    <w:rsid w:val="009C3060"/>
    <w:rsid w:val="00A32E59"/>
    <w:rsid w:val="00F02E1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6522</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2023-04-20T06:40:00Z</cp:lastPrinted>
  <dcterms:created xsi:type="dcterms:W3CDTF">2023-05-07T06:54:00Z</dcterms:created>
  <dcterms:modified xsi:type="dcterms:W3CDTF">2023-05-07T06:54:00Z</dcterms:modified>
</cp:coreProperties>
</file>